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356D1" w:rsidRPr="000356D1" w:rsidRDefault="000356D1" w:rsidP="000356D1">
      <w:pPr>
        <w:rPr>
          <w:rFonts w:ascii="Arial" w:eastAsiaTheme="minorHAnsi" w:hAnsi="Arial" w:cs="Arial"/>
          <w:sz w:val="24"/>
          <w:szCs w:val="24"/>
          <w:lang w:eastAsia="en-US"/>
        </w:rPr>
      </w:pPr>
      <w:r w:rsidRPr="000356D1">
        <w:rPr>
          <w:rFonts w:ascii="Arial" w:eastAsiaTheme="minorHAnsi" w:hAnsi="Arial" w:cs="Arial"/>
          <w:b/>
          <w:bCs/>
          <w:sz w:val="24"/>
          <w:szCs w:val="24"/>
          <w:lang w:eastAsia="en-US"/>
        </w:rPr>
        <w:t>Question 1</w:t>
      </w:r>
    </w:p>
    <w:p w:rsidR="000356D1" w:rsidRPr="000356D1" w:rsidRDefault="000356D1" w:rsidP="000356D1">
      <w:pPr>
        <w:rPr>
          <w:rFonts w:ascii="Arial" w:eastAsiaTheme="minorHAnsi" w:hAnsi="Arial" w:cs="Arial"/>
          <w:b/>
          <w:bCs/>
          <w:sz w:val="24"/>
          <w:szCs w:val="24"/>
          <w:lang w:eastAsia="en-US"/>
        </w:rPr>
      </w:pPr>
    </w:p>
    <w:p w:rsidR="000356D1" w:rsidRPr="000356D1" w:rsidRDefault="000356D1" w:rsidP="000356D1">
      <w:pPr>
        <w:spacing w:before="120" w:after="120"/>
        <w:rPr>
          <w:rFonts w:ascii="Arial" w:eastAsia="Times New Roman" w:hAnsi="Arial" w:cs="Arial"/>
          <w:sz w:val="24"/>
          <w:szCs w:val="24"/>
          <w:lang w:eastAsia="en-AU"/>
        </w:rPr>
      </w:pPr>
      <w:r w:rsidRPr="000356D1">
        <w:rPr>
          <w:rFonts w:ascii="Arial" w:eastAsia="Times New Roman" w:hAnsi="Arial" w:cs="Arial"/>
          <w:sz w:val="24"/>
          <w:szCs w:val="24"/>
          <w:lang w:eastAsia="en-AU"/>
        </w:rPr>
        <w:t>Unlike the House of Representatives, it is rare for the government of the day to control the Senate. Define ‘hostile house’ and explain how a ‘hostile house’ may affect the ability of Parliament to make law</w:t>
      </w:r>
      <w:r w:rsidRPr="000356D1">
        <w:rPr>
          <w:rFonts w:ascii="Arial" w:eastAsia="Times New Roman" w:hAnsi="Arial" w:cs="Arial"/>
          <w:color w:val="404040" w:themeColor="text1" w:themeTint="BF"/>
          <w:szCs w:val="24"/>
          <w:lang w:eastAsia="en-AU"/>
        </w:rPr>
        <w:t xml:space="preserve">                                                                                                                       </w:t>
      </w:r>
    </w:p>
    <w:p w:rsidR="000356D1" w:rsidRPr="000356D1" w:rsidRDefault="000356D1" w:rsidP="000356D1">
      <w:pPr>
        <w:spacing w:before="120" w:after="120" w:line="288" w:lineRule="auto"/>
        <w:rPr>
          <w:rFonts w:ascii="Arial" w:eastAsia="Times New Roman" w:hAnsi="Arial" w:cs="Arial"/>
          <w:bCs/>
          <w:sz w:val="24"/>
          <w:szCs w:val="24"/>
          <w:lang w:eastAsia="en-AU"/>
        </w:rPr>
      </w:pPr>
      <w:r w:rsidRPr="000356D1">
        <w:rPr>
          <w:rFonts w:ascii="Arial" w:eastAsia="Times New Roman" w:hAnsi="Arial" w:cs="Arial"/>
          <w:b/>
          <w:color w:val="000000" w:themeColor="text1"/>
          <w:sz w:val="24"/>
          <w:szCs w:val="24"/>
          <w:lang w:eastAsia="en-AU"/>
        </w:rPr>
        <w:t xml:space="preserve">Question 2 </w:t>
      </w:r>
    </w:p>
    <w:p w:rsidR="000356D1" w:rsidRPr="000356D1" w:rsidRDefault="000356D1" w:rsidP="000356D1">
      <w:pPr>
        <w:spacing w:before="120" w:after="120" w:line="288" w:lineRule="auto"/>
        <w:rPr>
          <w:rFonts w:ascii="Arial" w:eastAsia="Times New Roman" w:hAnsi="Arial" w:cs="Arial"/>
          <w:color w:val="000000" w:themeColor="text1"/>
          <w:sz w:val="24"/>
          <w:szCs w:val="24"/>
          <w:lang w:eastAsia="en-AU"/>
        </w:rPr>
      </w:pPr>
      <w:r w:rsidRPr="000356D1">
        <w:rPr>
          <w:rFonts w:ascii="Arial" w:eastAsia="Times New Roman" w:hAnsi="Arial" w:cs="Arial"/>
          <w:color w:val="000000" w:themeColor="text1"/>
          <w:sz w:val="24"/>
          <w:szCs w:val="24"/>
          <w:lang w:eastAsia="en-AU"/>
        </w:rPr>
        <w:t xml:space="preserve">Other than the roles of the houses of parliament, explain </w:t>
      </w:r>
      <w:r w:rsidRPr="000356D1">
        <w:rPr>
          <w:rFonts w:ascii="Arial" w:eastAsia="Times New Roman" w:hAnsi="Arial" w:cs="Arial"/>
          <w:b/>
          <w:color w:val="000000" w:themeColor="text1"/>
          <w:sz w:val="24"/>
          <w:szCs w:val="24"/>
          <w:lang w:eastAsia="en-AU"/>
        </w:rPr>
        <w:t>one</w:t>
      </w:r>
      <w:r w:rsidRPr="000356D1">
        <w:rPr>
          <w:rFonts w:ascii="Arial" w:eastAsia="Times New Roman" w:hAnsi="Arial" w:cs="Arial"/>
          <w:color w:val="000000" w:themeColor="text1"/>
          <w:sz w:val="24"/>
          <w:szCs w:val="24"/>
          <w:lang w:eastAsia="en-AU"/>
        </w:rPr>
        <w:t xml:space="preserve"> factor that may affect the ability of </w:t>
      </w:r>
      <w:r w:rsidRPr="000356D1">
        <w:rPr>
          <w:rFonts w:ascii="Arial" w:eastAsia="Times New Roman" w:hAnsi="Arial" w:cs="Arial"/>
          <w:b/>
          <w:bCs/>
          <w:color w:val="000000" w:themeColor="text1"/>
          <w:sz w:val="24"/>
          <w:szCs w:val="24"/>
          <w:lang w:eastAsia="en-AU"/>
        </w:rPr>
        <w:t>parliament</w:t>
      </w:r>
      <w:r w:rsidRPr="000356D1">
        <w:rPr>
          <w:rFonts w:ascii="Arial" w:eastAsia="Times New Roman" w:hAnsi="Arial" w:cs="Arial"/>
          <w:color w:val="000000" w:themeColor="text1"/>
          <w:sz w:val="24"/>
          <w:szCs w:val="24"/>
          <w:lang w:eastAsia="en-AU"/>
        </w:rPr>
        <w:t xml:space="preserve"> to make law</w:t>
      </w:r>
      <w:r w:rsidRPr="000356D1">
        <w:rPr>
          <w:rFonts w:ascii="Arial" w:eastAsia="Times New Roman" w:hAnsi="Arial" w:cs="Arial"/>
          <w:bCs/>
          <w:color w:val="404040" w:themeColor="text1" w:themeTint="BF"/>
          <w:sz w:val="24"/>
          <w:szCs w:val="24"/>
          <w:lang w:eastAsia="en-AU"/>
        </w:rPr>
        <w:t xml:space="preserve">                                                                                                                                                                               </w:t>
      </w:r>
    </w:p>
    <w:p w:rsidR="000356D1" w:rsidRPr="000356D1" w:rsidRDefault="000356D1" w:rsidP="000356D1">
      <w:pPr>
        <w:spacing w:before="120" w:after="120" w:line="360" w:lineRule="auto"/>
        <w:rPr>
          <w:rFonts w:ascii="Arial" w:eastAsia="Times New Roman" w:hAnsi="Arial" w:cs="Arial"/>
          <w:sz w:val="24"/>
          <w:szCs w:val="24"/>
          <w:lang w:eastAsia="en-AU"/>
        </w:rPr>
      </w:pPr>
      <w:r w:rsidRPr="000356D1">
        <w:rPr>
          <w:rFonts w:ascii="Arial" w:eastAsia="Times New Roman" w:hAnsi="Arial" w:cs="Arial"/>
          <w:b/>
          <w:bCs/>
          <w:sz w:val="24"/>
          <w:szCs w:val="24"/>
          <w:lang w:eastAsia="en-AU"/>
        </w:rPr>
        <w:t>Question 3</w:t>
      </w:r>
      <w:r w:rsidRPr="000356D1">
        <w:rPr>
          <w:rFonts w:ascii="Arial" w:eastAsia="Times New Roman" w:hAnsi="Arial" w:cs="Arial"/>
          <w:sz w:val="24"/>
          <w:szCs w:val="24"/>
          <w:lang w:eastAsia="en-AU"/>
        </w:rPr>
        <w:t xml:space="preserve">  </w:t>
      </w:r>
    </w:p>
    <w:p w:rsidR="000356D1" w:rsidRPr="000356D1" w:rsidRDefault="000356D1" w:rsidP="000356D1">
      <w:pPr>
        <w:spacing w:before="120" w:after="120" w:line="360" w:lineRule="auto"/>
        <w:rPr>
          <w:rFonts w:ascii="Arial" w:eastAsia="Times New Roman" w:hAnsi="Arial" w:cs="Arial"/>
          <w:b/>
          <w:sz w:val="24"/>
          <w:szCs w:val="24"/>
          <w:lang w:eastAsia="en-AU"/>
        </w:rPr>
      </w:pPr>
      <w:r w:rsidRPr="000356D1">
        <w:rPr>
          <w:rFonts w:ascii="Arial" w:eastAsia="Times New Roman" w:hAnsi="Arial" w:cs="Arial"/>
          <w:sz w:val="24"/>
          <w:szCs w:val="24"/>
          <w:lang w:eastAsia="en-AU"/>
        </w:rPr>
        <w:t>Read the quote below and answer the questions that follow:</w:t>
      </w:r>
    </w:p>
    <w:p w:rsidR="000356D1" w:rsidRPr="000356D1" w:rsidRDefault="000356D1" w:rsidP="000356D1">
      <w:pPr>
        <w:spacing w:before="120" w:after="120" w:line="288" w:lineRule="auto"/>
        <w:jc w:val="center"/>
        <w:rPr>
          <w:rFonts w:ascii="Arial" w:eastAsia="Times New Roman" w:hAnsi="Arial" w:cs="Arial"/>
          <w:b/>
          <w:bCs/>
          <w:i/>
          <w:iCs/>
          <w:sz w:val="24"/>
          <w:szCs w:val="24"/>
          <w:shd w:val="clear" w:color="auto" w:fill="FFFFFF"/>
          <w:lang w:eastAsia="en-AU"/>
        </w:rPr>
      </w:pPr>
      <w:r w:rsidRPr="000356D1">
        <w:rPr>
          <w:rFonts w:ascii="Arial" w:eastAsia="Times New Roman" w:hAnsi="Arial" w:cs="Arial"/>
          <w:b/>
          <w:bCs/>
          <w:i/>
          <w:iCs/>
          <w:sz w:val="24"/>
          <w:szCs w:val="24"/>
          <w:shd w:val="clear" w:color="auto" w:fill="FFFFFF"/>
          <w:lang w:eastAsia="en-AU"/>
        </w:rPr>
        <w:t>‘The higher in the court hierarchy, the greater the flexibility to make and change the law.’</w:t>
      </w:r>
    </w:p>
    <w:p w:rsidR="000356D1" w:rsidRPr="000356D1" w:rsidRDefault="000356D1" w:rsidP="000356D1">
      <w:pPr>
        <w:numPr>
          <w:ilvl w:val="0"/>
          <w:numId w:val="2"/>
        </w:numPr>
        <w:spacing w:after="200" w:line="276" w:lineRule="auto"/>
        <w:contextualSpacing/>
        <w:rPr>
          <w:rFonts w:ascii="Arial" w:eastAsiaTheme="minorHAnsi" w:hAnsi="Arial" w:cs="Arial"/>
          <w:sz w:val="24"/>
          <w:shd w:val="clear" w:color="auto" w:fill="FFFFFF"/>
          <w:lang w:eastAsia="en-US"/>
        </w:rPr>
      </w:pPr>
      <w:r w:rsidRPr="000356D1">
        <w:rPr>
          <w:rFonts w:ascii="Arial" w:eastAsiaTheme="minorHAnsi" w:hAnsi="Arial" w:cs="Arial"/>
          <w:sz w:val="24"/>
          <w:shd w:val="clear" w:color="auto" w:fill="FFFFFF"/>
          <w:lang w:eastAsia="en-US"/>
        </w:rPr>
        <w:t xml:space="preserve">With reference to the key features of the doctrine of precedent, outline the extent to which you agree or disagree with this statement.                 </w:t>
      </w:r>
    </w:p>
    <w:p w:rsidR="000356D1" w:rsidRPr="000356D1" w:rsidRDefault="000356D1" w:rsidP="000356D1">
      <w:pPr>
        <w:numPr>
          <w:ilvl w:val="0"/>
          <w:numId w:val="2"/>
        </w:numPr>
        <w:spacing w:after="200" w:line="276" w:lineRule="auto"/>
        <w:contextualSpacing/>
        <w:rPr>
          <w:rFonts w:eastAsiaTheme="minorHAnsi" w:cs="Arial"/>
          <w:b/>
          <w:lang w:eastAsia="en-US"/>
        </w:rPr>
      </w:pPr>
      <w:r w:rsidRPr="000356D1">
        <w:rPr>
          <w:rFonts w:ascii="Arial" w:eastAsiaTheme="minorHAnsi" w:hAnsi="Arial" w:cs="Arial"/>
          <w:sz w:val="24"/>
          <w:shd w:val="clear" w:color="auto" w:fill="FFFFFF"/>
          <w:lang w:eastAsia="en-US"/>
        </w:rPr>
        <w:t xml:space="preserve">Comment on how </w:t>
      </w:r>
      <w:r w:rsidRPr="000356D1">
        <w:rPr>
          <w:rFonts w:ascii="Arial" w:eastAsiaTheme="minorHAnsi" w:hAnsi="Arial" w:cs="Arial"/>
          <w:b/>
          <w:bCs/>
          <w:sz w:val="24"/>
          <w:shd w:val="clear" w:color="auto" w:fill="FFFFFF"/>
          <w:lang w:eastAsia="en-US"/>
        </w:rPr>
        <w:t>either</w:t>
      </w:r>
      <w:r w:rsidRPr="000356D1">
        <w:rPr>
          <w:rFonts w:ascii="Arial" w:eastAsiaTheme="minorHAnsi" w:hAnsi="Arial" w:cs="Arial"/>
          <w:sz w:val="24"/>
          <w:shd w:val="clear" w:color="auto" w:fill="FFFFFF"/>
          <w:lang w:eastAsia="en-US"/>
        </w:rPr>
        <w:t xml:space="preserve"> judicial activism </w:t>
      </w:r>
      <w:r w:rsidRPr="000356D1">
        <w:rPr>
          <w:rFonts w:ascii="Arial" w:eastAsiaTheme="minorHAnsi" w:hAnsi="Arial" w:cs="Arial"/>
          <w:b/>
          <w:bCs/>
          <w:sz w:val="24"/>
          <w:shd w:val="clear" w:color="auto" w:fill="FFFFFF"/>
          <w:lang w:eastAsia="en-US"/>
        </w:rPr>
        <w:t>or</w:t>
      </w:r>
      <w:r w:rsidRPr="000356D1">
        <w:rPr>
          <w:rFonts w:ascii="Arial" w:eastAsiaTheme="minorHAnsi" w:hAnsi="Arial" w:cs="Arial"/>
          <w:sz w:val="24"/>
          <w:shd w:val="clear" w:color="auto" w:fill="FFFFFF"/>
          <w:lang w:eastAsia="en-US"/>
        </w:rPr>
        <w:t xml:space="preserve"> judicial conservatism can impact on the courts’ ability to create law with the use of an example. (Note: you are only required to discuss </w:t>
      </w:r>
      <w:r w:rsidRPr="000356D1">
        <w:rPr>
          <w:rFonts w:ascii="Arial" w:eastAsiaTheme="minorHAnsi" w:hAnsi="Arial" w:cs="Arial"/>
          <w:b/>
          <w:bCs/>
          <w:sz w:val="24"/>
          <w:shd w:val="clear" w:color="auto" w:fill="FFFFFF"/>
          <w:lang w:eastAsia="en-US"/>
        </w:rPr>
        <w:t xml:space="preserve">one </w:t>
      </w:r>
      <w:r w:rsidRPr="000356D1">
        <w:rPr>
          <w:rFonts w:ascii="Arial" w:eastAsiaTheme="minorHAnsi" w:hAnsi="Arial" w:cs="Arial"/>
          <w:sz w:val="24"/>
          <w:shd w:val="clear" w:color="auto" w:fill="FFFFFF"/>
          <w:lang w:eastAsia="en-US"/>
        </w:rPr>
        <w:t xml:space="preserve">of these approaches)                              </w:t>
      </w:r>
    </w:p>
    <w:p w:rsidR="000356D1" w:rsidRPr="000356D1" w:rsidRDefault="000356D1" w:rsidP="000356D1">
      <w:pPr>
        <w:rPr>
          <w:rFonts w:ascii="Arial" w:eastAsiaTheme="minorHAnsi" w:hAnsi="Arial" w:cs="Arial"/>
          <w:bCs/>
          <w:sz w:val="24"/>
          <w:szCs w:val="24"/>
          <w:lang w:eastAsia="en-US"/>
        </w:rPr>
      </w:pPr>
      <w:r w:rsidRPr="000356D1">
        <w:rPr>
          <w:rFonts w:ascii="Arial" w:eastAsiaTheme="minorHAnsi" w:hAnsi="Arial" w:cs="Arial"/>
          <w:b/>
          <w:sz w:val="24"/>
          <w:szCs w:val="24"/>
          <w:lang w:eastAsia="en-US"/>
        </w:rPr>
        <w:t xml:space="preserve">Question 4 </w:t>
      </w:r>
    </w:p>
    <w:p w:rsidR="000356D1" w:rsidRPr="000356D1" w:rsidRDefault="000356D1" w:rsidP="000356D1">
      <w:pPr>
        <w:rPr>
          <w:rFonts w:ascii="Arial" w:eastAsiaTheme="minorHAnsi" w:hAnsi="Arial" w:cs="Arial"/>
          <w:lang w:eastAsia="en-US"/>
        </w:rPr>
      </w:pPr>
    </w:p>
    <w:p w:rsidR="000356D1" w:rsidRPr="000356D1" w:rsidRDefault="000356D1" w:rsidP="000356D1">
      <w:pPr>
        <w:autoSpaceDE w:val="0"/>
        <w:autoSpaceDN w:val="0"/>
        <w:adjustRightInd w:val="0"/>
        <w:rPr>
          <w:rFonts w:ascii="Arial" w:eastAsiaTheme="minorHAnsi" w:hAnsi="Arial" w:cs="Arial"/>
          <w:lang w:eastAsia="en-US"/>
        </w:rPr>
      </w:pPr>
      <w:r w:rsidRPr="000356D1">
        <w:rPr>
          <w:rFonts w:ascii="Arial" w:eastAsiaTheme="minorHAnsi" w:hAnsi="Arial" w:cs="Arial"/>
          <w:lang w:eastAsia="en-US"/>
        </w:rPr>
        <w:t xml:space="preserve">The following is an extract from the </w:t>
      </w:r>
      <w:r w:rsidRPr="000356D1">
        <w:rPr>
          <w:rFonts w:ascii="Arial" w:eastAsiaTheme="minorHAnsi" w:hAnsi="Arial" w:cs="Arial"/>
          <w:i/>
          <w:lang w:eastAsia="en-US"/>
        </w:rPr>
        <w:t>Criminal Procedure Act 2009</w:t>
      </w:r>
      <w:r w:rsidRPr="000356D1">
        <w:rPr>
          <w:rFonts w:ascii="Arial" w:eastAsiaTheme="minorHAnsi" w:hAnsi="Arial" w:cs="Arial"/>
          <w:i/>
          <w:iCs/>
          <w:lang w:eastAsia="en-US"/>
        </w:rPr>
        <w:t xml:space="preserve"> </w:t>
      </w:r>
      <w:r w:rsidRPr="000356D1">
        <w:rPr>
          <w:rFonts w:ascii="Arial" w:eastAsiaTheme="minorHAnsi" w:hAnsi="Arial" w:cs="Arial"/>
          <w:lang w:eastAsia="en-US"/>
        </w:rPr>
        <w:t>(Vic):</w:t>
      </w:r>
    </w:p>
    <w:p w:rsidR="000356D1" w:rsidRPr="000356D1" w:rsidRDefault="000356D1" w:rsidP="000356D1">
      <w:pPr>
        <w:rPr>
          <w:rFonts w:ascii="Times New Roman" w:eastAsia="Times New Roman" w:hAnsi="Times New Roman" w:cs="Times New Roman"/>
          <w:b/>
          <w:bCs/>
          <w:sz w:val="24"/>
          <w:szCs w:val="24"/>
          <w:lang w:eastAsia="en-AU"/>
        </w:rPr>
      </w:pPr>
    </w:p>
    <w:p w:rsidR="000356D1" w:rsidRPr="000356D1" w:rsidRDefault="000356D1" w:rsidP="000356D1">
      <w:pPr>
        <w:keepNext/>
        <w:keepLines/>
        <w:pBdr>
          <w:top w:val="single" w:sz="4" w:space="1" w:color="auto"/>
          <w:left w:val="single" w:sz="4" w:space="4" w:color="auto"/>
          <w:bottom w:val="single" w:sz="4" w:space="1" w:color="auto"/>
          <w:right w:val="single" w:sz="4" w:space="4" w:color="auto"/>
        </w:pBdr>
        <w:spacing w:before="200" w:line="288" w:lineRule="auto"/>
        <w:outlineLvl w:val="2"/>
        <w:rPr>
          <w:rFonts w:ascii="Times New Roman" w:eastAsiaTheme="majorEastAsia" w:hAnsi="Times New Roman" w:cs="Times New Roman"/>
          <w:sz w:val="24"/>
          <w:szCs w:val="24"/>
          <w:lang w:eastAsia="en-AU"/>
        </w:rPr>
      </w:pPr>
      <w:r w:rsidRPr="000356D1">
        <w:rPr>
          <w:rFonts w:ascii="Times New Roman" w:eastAsiaTheme="majorEastAsia" w:hAnsi="Times New Roman" w:cs="Times New Roman"/>
          <w:szCs w:val="24"/>
          <w:lang w:eastAsia="en-AU"/>
        </w:rPr>
        <w:t xml:space="preserve">SECT 210   </w:t>
      </w:r>
      <w:r w:rsidRPr="000356D1">
        <w:rPr>
          <w:rFonts w:ascii="Times New Roman" w:eastAsiaTheme="majorEastAsia" w:hAnsi="Times New Roman" w:cs="Times New Roman"/>
          <w:sz w:val="24"/>
          <w:szCs w:val="24"/>
          <w:lang w:eastAsia="en-AU"/>
        </w:rPr>
        <w:t xml:space="preserve">When trial commences </w:t>
      </w:r>
    </w:p>
    <w:p w:rsidR="000356D1" w:rsidRPr="000356D1" w:rsidRDefault="000356D1" w:rsidP="000356D1">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eastAsia="Times New Roman" w:hAnsi="Times New Roman" w:cs="Times New Roman"/>
          <w:sz w:val="24"/>
          <w:szCs w:val="24"/>
          <w:lang w:eastAsia="en-AU"/>
        </w:rPr>
      </w:pPr>
      <w:r w:rsidRPr="000356D1">
        <w:rPr>
          <w:rFonts w:ascii="Times New Roman" w:eastAsia="Times New Roman" w:hAnsi="Times New Roman" w:cs="Times New Roman"/>
          <w:sz w:val="24"/>
          <w:szCs w:val="24"/>
          <w:lang w:eastAsia="en-AU"/>
        </w:rPr>
        <w:t xml:space="preserve">    (1)     A trial commences when the accused pleads not guilty on arraignment </w:t>
      </w:r>
      <w:r w:rsidRPr="000356D1">
        <w:rPr>
          <w:rFonts w:ascii="Times New Roman" w:eastAsia="Times New Roman" w:hAnsi="Times New Roman" w:cs="Times New Roman"/>
          <w:b/>
          <w:bCs/>
          <w:sz w:val="24"/>
          <w:szCs w:val="24"/>
          <w:lang w:eastAsia="en-AU"/>
        </w:rPr>
        <w:t>in the</w:t>
      </w:r>
      <w:r w:rsidRPr="000356D1">
        <w:rPr>
          <w:rFonts w:ascii="Times New Roman" w:eastAsia="Times New Roman" w:hAnsi="Times New Roman" w:cs="Times New Roman"/>
          <w:sz w:val="24"/>
          <w:szCs w:val="24"/>
          <w:lang w:eastAsia="en-AU"/>
        </w:rPr>
        <w:t xml:space="preserve"> </w:t>
      </w:r>
      <w:r w:rsidRPr="000356D1">
        <w:rPr>
          <w:rFonts w:ascii="Times New Roman" w:eastAsia="Times New Roman" w:hAnsi="Times New Roman" w:cs="Times New Roman"/>
          <w:b/>
          <w:bCs/>
          <w:sz w:val="24"/>
          <w:szCs w:val="24"/>
          <w:lang w:eastAsia="en-AU"/>
        </w:rPr>
        <w:t>presence</w:t>
      </w:r>
      <w:r w:rsidRPr="000356D1">
        <w:rPr>
          <w:rFonts w:ascii="Times New Roman" w:eastAsia="Times New Roman" w:hAnsi="Times New Roman" w:cs="Times New Roman"/>
          <w:sz w:val="24"/>
          <w:szCs w:val="24"/>
          <w:lang w:eastAsia="en-AU"/>
        </w:rPr>
        <w:t xml:space="preserve"> of the jury panel in accordance with section 217. </w:t>
      </w:r>
    </w:p>
    <w:p w:rsidR="000356D1" w:rsidRPr="000356D1" w:rsidRDefault="000356D1" w:rsidP="000356D1">
      <w:pPr>
        <w:keepNext/>
        <w:keepLines/>
        <w:pBdr>
          <w:top w:val="single" w:sz="4" w:space="1" w:color="auto"/>
          <w:left w:val="single" w:sz="4" w:space="4" w:color="auto"/>
          <w:bottom w:val="single" w:sz="4" w:space="1" w:color="auto"/>
          <w:right w:val="single" w:sz="4" w:space="4" w:color="auto"/>
        </w:pBdr>
        <w:spacing w:before="200" w:line="288" w:lineRule="auto"/>
        <w:outlineLvl w:val="2"/>
        <w:rPr>
          <w:rFonts w:ascii="Times New Roman" w:eastAsiaTheme="majorEastAsia" w:hAnsi="Times New Roman" w:cs="Times New Roman"/>
          <w:szCs w:val="24"/>
          <w:lang w:eastAsia="en-AU"/>
        </w:rPr>
      </w:pPr>
      <w:r w:rsidRPr="000356D1">
        <w:rPr>
          <w:rFonts w:ascii="Times New Roman" w:eastAsiaTheme="majorEastAsia" w:hAnsi="Times New Roman" w:cs="Times New Roman"/>
          <w:szCs w:val="24"/>
          <w:lang w:eastAsia="en-AU"/>
        </w:rPr>
        <w:t xml:space="preserve">SECT 215     Arraignment </w:t>
      </w:r>
    </w:p>
    <w:p w:rsidR="000356D1" w:rsidRPr="000356D1" w:rsidRDefault="000356D1" w:rsidP="000356D1">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eastAsia="Times New Roman" w:hAnsi="Times New Roman" w:cs="Times New Roman"/>
          <w:sz w:val="24"/>
          <w:szCs w:val="24"/>
          <w:lang w:eastAsia="en-AU"/>
        </w:rPr>
      </w:pPr>
      <w:r w:rsidRPr="000356D1">
        <w:rPr>
          <w:rFonts w:ascii="Times New Roman" w:eastAsia="Times New Roman" w:hAnsi="Times New Roman" w:cs="Times New Roman"/>
          <w:sz w:val="24"/>
          <w:szCs w:val="24"/>
          <w:lang w:eastAsia="en-AU"/>
        </w:rPr>
        <w:t xml:space="preserve">    (1)     An accused is arraigned when the court— </w:t>
      </w:r>
    </w:p>
    <w:p w:rsidR="000356D1" w:rsidRPr="000356D1" w:rsidRDefault="000356D1" w:rsidP="000356D1">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eastAsia="Times New Roman" w:hAnsi="Times New Roman" w:cs="Times New Roman"/>
          <w:sz w:val="24"/>
          <w:szCs w:val="24"/>
          <w:lang w:eastAsia="en-AU"/>
        </w:rPr>
      </w:pPr>
      <w:r w:rsidRPr="000356D1">
        <w:rPr>
          <w:rFonts w:ascii="Times New Roman" w:eastAsia="Times New Roman" w:hAnsi="Times New Roman" w:cs="Times New Roman"/>
          <w:sz w:val="24"/>
          <w:szCs w:val="24"/>
          <w:lang w:eastAsia="en-AU"/>
        </w:rPr>
        <w:t xml:space="preserve">        (a)     asks the accused whether the accused is the person named on the indictment; and </w:t>
      </w:r>
    </w:p>
    <w:p w:rsidR="000356D1" w:rsidRPr="000356D1" w:rsidRDefault="000356D1" w:rsidP="000356D1">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eastAsia="Times New Roman" w:hAnsi="Times New Roman" w:cs="Times New Roman"/>
          <w:sz w:val="24"/>
          <w:szCs w:val="24"/>
          <w:lang w:eastAsia="en-AU"/>
        </w:rPr>
      </w:pPr>
      <w:r w:rsidRPr="000356D1">
        <w:rPr>
          <w:rFonts w:ascii="Times New Roman" w:eastAsia="Times New Roman" w:hAnsi="Times New Roman" w:cs="Times New Roman"/>
          <w:sz w:val="24"/>
          <w:szCs w:val="24"/>
          <w:lang w:eastAsia="en-AU"/>
        </w:rPr>
        <w:t xml:space="preserve">        (b)     reads out each charge on the indictment and asks the accused whether the accused pleads guilty or not guilty to the charge. </w:t>
      </w:r>
    </w:p>
    <w:p w:rsidR="000356D1" w:rsidRPr="000356D1" w:rsidRDefault="000356D1" w:rsidP="000356D1">
      <w:pPr>
        <w:keepNext/>
        <w:keepLines/>
        <w:pBdr>
          <w:top w:val="single" w:sz="4" w:space="1" w:color="auto"/>
          <w:left w:val="single" w:sz="4" w:space="4" w:color="auto"/>
          <w:bottom w:val="single" w:sz="4" w:space="1" w:color="auto"/>
          <w:right w:val="single" w:sz="4" w:space="4" w:color="auto"/>
        </w:pBdr>
        <w:spacing w:before="200" w:line="288" w:lineRule="auto"/>
        <w:outlineLvl w:val="2"/>
        <w:rPr>
          <w:rFonts w:ascii="Times New Roman" w:eastAsiaTheme="majorEastAsia" w:hAnsi="Times New Roman" w:cs="Times New Roman"/>
          <w:szCs w:val="24"/>
          <w:lang w:eastAsia="en-AU"/>
        </w:rPr>
      </w:pPr>
      <w:r w:rsidRPr="000356D1">
        <w:rPr>
          <w:rFonts w:ascii="Times New Roman" w:eastAsiaTheme="majorEastAsia" w:hAnsi="Times New Roman" w:cs="Times New Roman"/>
          <w:szCs w:val="24"/>
          <w:lang w:eastAsia="en-AU"/>
        </w:rPr>
        <w:t xml:space="preserve">SECT 217 Arraignment in presence of jury panel </w:t>
      </w:r>
    </w:p>
    <w:p w:rsidR="000356D1" w:rsidRPr="000356D1" w:rsidRDefault="000356D1" w:rsidP="000356D1">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eastAsia="Times New Roman" w:hAnsi="Times New Roman" w:cs="Times New Roman"/>
          <w:sz w:val="24"/>
          <w:szCs w:val="24"/>
          <w:lang w:eastAsia="en-AU"/>
        </w:rPr>
      </w:pPr>
      <w:r w:rsidRPr="000356D1">
        <w:rPr>
          <w:rFonts w:ascii="Times New Roman" w:eastAsia="Times New Roman" w:hAnsi="Times New Roman" w:cs="Times New Roman"/>
          <w:sz w:val="24"/>
          <w:szCs w:val="24"/>
          <w:lang w:eastAsia="en-AU"/>
        </w:rPr>
        <w:t xml:space="preserve">If an accused has not pleaded guilty to all of the charges on an indictment— </w:t>
      </w:r>
    </w:p>
    <w:p w:rsidR="000356D1" w:rsidRPr="000356D1" w:rsidRDefault="000356D1" w:rsidP="000356D1">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eastAsia="Times New Roman" w:hAnsi="Times New Roman" w:cs="Times New Roman"/>
          <w:sz w:val="24"/>
          <w:szCs w:val="24"/>
          <w:lang w:eastAsia="en-AU"/>
        </w:rPr>
      </w:pPr>
      <w:r w:rsidRPr="000356D1">
        <w:rPr>
          <w:rFonts w:ascii="Times New Roman" w:eastAsia="Times New Roman" w:hAnsi="Times New Roman" w:cs="Times New Roman"/>
          <w:sz w:val="24"/>
          <w:szCs w:val="24"/>
          <w:lang w:eastAsia="en-AU"/>
        </w:rPr>
        <w:t xml:space="preserve">        (a)     the accused must be arraigned in the </w:t>
      </w:r>
      <w:r w:rsidRPr="000356D1">
        <w:rPr>
          <w:rFonts w:ascii="Times New Roman" w:eastAsia="Times New Roman" w:hAnsi="Times New Roman" w:cs="Times New Roman"/>
          <w:b/>
          <w:bCs/>
          <w:sz w:val="24"/>
          <w:szCs w:val="24"/>
          <w:lang w:eastAsia="en-AU"/>
        </w:rPr>
        <w:t>presence</w:t>
      </w:r>
      <w:r w:rsidRPr="000356D1">
        <w:rPr>
          <w:rFonts w:ascii="Times New Roman" w:eastAsia="Times New Roman" w:hAnsi="Times New Roman" w:cs="Times New Roman"/>
          <w:sz w:val="24"/>
          <w:szCs w:val="24"/>
          <w:lang w:eastAsia="en-AU"/>
        </w:rPr>
        <w:t xml:space="preserve"> of the jury panel and </w:t>
      </w:r>
    </w:p>
    <w:p w:rsidR="000356D1" w:rsidRPr="000356D1" w:rsidRDefault="000356D1" w:rsidP="000356D1">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eastAsia="Times New Roman" w:hAnsi="Times New Roman" w:cs="Times New Roman"/>
          <w:sz w:val="24"/>
          <w:szCs w:val="24"/>
          <w:lang w:eastAsia="en-AU"/>
        </w:rPr>
      </w:pPr>
      <w:r w:rsidRPr="000356D1">
        <w:rPr>
          <w:rFonts w:ascii="Times New Roman" w:eastAsia="Times New Roman" w:hAnsi="Times New Roman" w:cs="Times New Roman"/>
          <w:sz w:val="24"/>
          <w:szCs w:val="24"/>
          <w:lang w:eastAsia="en-AU"/>
        </w:rPr>
        <w:t xml:space="preserve">        (b)     a jury for the trial must be empanelled from that jury panel. </w:t>
      </w:r>
    </w:p>
    <w:p w:rsidR="000356D1" w:rsidRPr="000356D1" w:rsidRDefault="000356D1" w:rsidP="000356D1">
      <w:pPr>
        <w:rPr>
          <w:rFonts w:ascii="Arial" w:eastAsiaTheme="minorHAnsi" w:hAnsi="Arial" w:cs="Arial"/>
          <w:sz w:val="18"/>
          <w:szCs w:val="18"/>
          <w:lang w:eastAsia="en-US"/>
        </w:rPr>
      </w:pPr>
      <w:r w:rsidRPr="000356D1">
        <w:rPr>
          <w:rFonts w:ascii="Arial" w:eastAsiaTheme="minorHAnsi" w:hAnsi="Arial" w:cs="Arial"/>
          <w:sz w:val="18"/>
          <w:szCs w:val="18"/>
          <w:lang w:eastAsia="en-US"/>
        </w:rPr>
        <w:lastRenderedPageBreak/>
        <w:t xml:space="preserve">Source: Victorian Legislation and Parliamentary Documents </w:t>
      </w:r>
    </w:p>
    <w:p w:rsidR="000356D1" w:rsidRPr="000356D1" w:rsidRDefault="000356D1" w:rsidP="000356D1">
      <w:pPr>
        <w:rPr>
          <w:rFonts w:ascii="Arial" w:eastAsiaTheme="minorHAnsi" w:hAnsi="Arial" w:cs="Arial"/>
          <w:sz w:val="18"/>
          <w:szCs w:val="18"/>
          <w:lang w:eastAsia="en-US"/>
        </w:rPr>
      </w:pPr>
    </w:p>
    <w:p w:rsidR="000356D1" w:rsidRPr="000356D1" w:rsidRDefault="000356D1" w:rsidP="000356D1">
      <w:pPr>
        <w:spacing w:before="100" w:beforeAutospacing="1" w:after="100" w:afterAutospacing="1"/>
        <w:rPr>
          <w:rFonts w:ascii="Arial" w:eastAsia="Times New Roman" w:hAnsi="Arial" w:cs="Arial"/>
          <w:color w:val="000000"/>
          <w:sz w:val="24"/>
          <w:szCs w:val="24"/>
          <w:lang w:eastAsia="en-AU"/>
        </w:rPr>
      </w:pPr>
      <w:r w:rsidRPr="000356D1">
        <w:rPr>
          <w:rFonts w:ascii="Arial" w:eastAsia="Times New Roman" w:hAnsi="Arial" w:cs="Arial"/>
          <w:color w:val="000000"/>
          <w:sz w:val="24"/>
          <w:szCs w:val="24"/>
          <w:lang w:eastAsia="en-AU"/>
        </w:rPr>
        <w:t xml:space="preserve">One of the grounds of  George Pell’s appeal against his conviction in  </w:t>
      </w:r>
      <w:r w:rsidRPr="000356D1">
        <w:rPr>
          <w:rFonts w:ascii="Arial" w:eastAsia="Times New Roman" w:hAnsi="Arial" w:cs="Arial"/>
          <w:i/>
          <w:iCs/>
          <w:sz w:val="24"/>
          <w:szCs w:val="24"/>
          <w:lang w:eastAsia="en-AU"/>
        </w:rPr>
        <w:t>Pell v The Queen</w:t>
      </w:r>
      <w:r w:rsidRPr="000356D1">
        <w:rPr>
          <w:rFonts w:ascii="Arial" w:eastAsia="Times New Roman" w:hAnsi="Arial" w:cs="Arial"/>
          <w:sz w:val="24"/>
          <w:szCs w:val="24"/>
          <w:lang w:eastAsia="en-AU"/>
        </w:rPr>
        <w:t xml:space="preserve"> [2019] VSCA 186, </w:t>
      </w:r>
      <w:r w:rsidRPr="000356D1">
        <w:rPr>
          <w:rFonts w:ascii="Arial" w:eastAsia="Times New Roman" w:hAnsi="Arial" w:cs="Arial"/>
          <w:color w:val="000000"/>
          <w:sz w:val="24"/>
          <w:szCs w:val="24"/>
          <w:lang w:eastAsia="en-AU"/>
        </w:rPr>
        <w:t>concerned whether there was a fundamental irregularity in the trial process on the basis that he was not arraigned 'in the presence of the jury panel' as required by sections 210 and 217 of the Criminal Procedure Act. The jury panel were in a different room watching by video link when these things were done.</w:t>
      </w:r>
    </w:p>
    <w:p w:rsidR="000356D1" w:rsidRPr="000356D1" w:rsidRDefault="000356D1" w:rsidP="000356D1">
      <w:pPr>
        <w:spacing w:before="100" w:beforeAutospacing="1" w:after="100" w:afterAutospacing="1"/>
        <w:rPr>
          <w:rFonts w:ascii="Arial" w:eastAsia="Times New Roman" w:hAnsi="Arial" w:cs="Arial"/>
          <w:sz w:val="24"/>
          <w:szCs w:val="24"/>
          <w:lang w:eastAsia="en-AU"/>
        </w:rPr>
      </w:pPr>
      <w:r w:rsidRPr="000356D1">
        <w:rPr>
          <w:rFonts w:ascii="Arial" w:eastAsia="Times New Roman" w:hAnsi="Arial" w:cs="Arial"/>
          <w:color w:val="000000"/>
          <w:sz w:val="24"/>
          <w:szCs w:val="24"/>
          <w:lang w:eastAsia="en-AU"/>
        </w:rPr>
        <w:t>The Court of Appeal held that the word 'presence' in the context of the legislation included presence by video link and did not require physical presence.</w:t>
      </w:r>
      <w:r w:rsidRPr="000356D1">
        <w:rPr>
          <w:rFonts w:ascii="Arial" w:eastAsia="Times New Roman" w:hAnsi="Arial" w:cs="Arial"/>
          <w:sz w:val="24"/>
          <w:szCs w:val="24"/>
          <w:lang w:eastAsia="en-AU"/>
        </w:rPr>
        <w:t xml:space="preserve"> </w:t>
      </w:r>
    </w:p>
    <w:p w:rsidR="000356D1" w:rsidRPr="000356D1" w:rsidRDefault="000356D1" w:rsidP="000356D1">
      <w:pPr>
        <w:spacing w:before="100" w:beforeAutospacing="1" w:after="100" w:afterAutospacing="1"/>
        <w:rPr>
          <w:rFonts w:ascii="Arial" w:eastAsia="Times New Roman" w:hAnsi="Arial" w:cs="Arial"/>
          <w:color w:val="000000"/>
          <w:sz w:val="24"/>
          <w:szCs w:val="24"/>
          <w:lang w:eastAsia="en-AU"/>
        </w:rPr>
      </w:pPr>
      <w:r w:rsidRPr="000356D1">
        <w:rPr>
          <w:rFonts w:ascii="Arial" w:eastAsia="Times New Roman" w:hAnsi="Arial" w:cs="Arial"/>
          <w:sz w:val="24"/>
          <w:szCs w:val="24"/>
          <w:lang w:eastAsia="en-AU"/>
        </w:rPr>
        <w:t xml:space="preserve">In refusing leave to appeal on this ground, Justice Weinberg stated:  while I accept that there are older authorities which suggest that the term ‘present’, in a statutory context, should ordinarily be interpreted as ‘physically present.’ In the light of modern technology, such a narrow and restrictive interpretation of that term seems, to me, not to be warranted. </w:t>
      </w:r>
    </w:p>
    <w:p w:rsidR="000356D1" w:rsidRPr="000356D1" w:rsidRDefault="000356D1" w:rsidP="000356D1">
      <w:pPr>
        <w:ind w:left="720"/>
        <w:rPr>
          <w:rFonts w:ascii="Arial" w:eastAsiaTheme="minorHAnsi" w:hAnsi="Arial" w:cs="Arial"/>
          <w:lang w:eastAsia="en-US"/>
        </w:rPr>
      </w:pPr>
      <w:r w:rsidRPr="000356D1">
        <w:rPr>
          <w:rFonts w:ascii="Arial" w:eastAsiaTheme="minorHAnsi" w:hAnsi="Arial" w:cs="Arial"/>
          <w:sz w:val="24"/>
          <w:szCs w:val="24"/>
          <w:lang w:eastAsia="en-US"/>
        </w:rPr>
        <w:t xml:space="preserve"> </w:t>
      </w:r>
      <w:r w:rsidRPr="000356D1">
        <w:rPr>
          <w:rFonts w:ascii="Arial" w:eastAsiaTheme="minorHAnsi" w:hAnsi="Arial" w:cs="Arial"/>
          <w:lang w:eastAsia="en-US"/>
        </w:rPr>
        <w:t xml:space="preserve">                                                                                                              </w:t>
      </w:r>
      <w:r w:rsidRPr="000356D1">
        <w:rPr>
          <w:rFonts w:eastAsiaTheme="minorHAnsi" w:cs="Arial"/>
          <w:sz w:val="24"/>
          <w:lang w:eastAsia="en-US"/>
        </w:rPr>
        <w:t xml:space="preserve">                                                                                                                  </w:t>
      </w:r>
    </w:p>
    <w:p w:rsidR="000356D1" w:rsidRPr="000356D1" w:rsidRDefault="000356D1" w:rsidP="000356D1">
      <w:pPr>
        <w:numPr>
          <w:ilvl w:val="0"/>
          <w:numId w:val="1"/>
        </w:numPr>
        <w:autoSpaceDE w:val="0"/>
        <w:autoSpaceDN w:val="0"/>
        <w:adjustRightInd w:val="0"/>
        <w:contextualSpacing/>
        <w:rPr>
          <w:rFonts w:ascii="Arial" w:eastAsiaTheme="minorHAnsi" w:hAnsi="Arial" w:cs="Arial"/>
          <w:bCs/>
          <w:sz w:val="24"/>
          <w:lang w:eastAsia="en-US"/>
        </w:rPr>
      </w:pPr>
      <w:r w:rsidRPr="000356D1">
        <w:rPr>
          <w:rFonts w:ascii="Arial" w:eastAsiaTheme="minorHAnsi" w:hAnsi="Arial" w:cs="Arial"/>
          <w:bCs/>
          <w:sz w:val="24"/>
          <w:lang w:eastAsia="en-US"/>
        </w:rPr>
        <w:t xml:space="preserve">Other than limiting or expanding the scope of the law, outline </w:t>
      </w:r>
      <w:r w:rsidRPr="000356D1">
        <w:rPr>
          <w:rFonts w:ascii="Arial" w:eastAsiaTheme="minorHAnsi" w:hAnsi="Arial" w:cs="Arial"/>
          <w:b/>
          <w:sz w:val="24"/>
          <w:lang w:eastAsia="en-US"/>
        </w:rPr>
        <w:t>another effect</w:t>
      </w:r>
      <w:r w:rsidRPr="000356D1">
        <w:rPr>
          <w:rFonts w:ascii="Arial" w:eastAsiaTheme="minorHAnsi" w:hAnsi="Arial" w:cs="Arial"/>
          <w:bCs/>
          <w:sz w:val="24"/>
          <w:lang w:eastAsia="en-US"/>
        </w:rPr>
        <w:t xml:space="preserve"> that statutory interpretation can have on the law.                      </w:t>
      </w:r>
    </w:p>
    <w:p w:rsidR="000356D1" w:rsidRPr="000356D1" w:rsidRDefault="000356D1" w:rsidP="000356D1">
      <w:pPr>
        <w:autoSpaceDE w:val="0"/>
        <w:autoSpaceDN w:val="0"/>
        <w:adjustRightInd w:val="0"/>
        <w:ind w:left="1080"/>
        <w:contextualSpacing/>
        <w:rPr>
          <w:rFonts w:ascii="Arial" w:eastAsiaTheme="minorHAnsi" w:hAnsi="Arial" w:cs="Arial"/>
          <w:bCs/>
          <w:sz w:val="24"/>
          <w:lang w:eastAsia="en-US"/>
        </w:rPr>
      </w:pPr>
      <w:r w:rsidRPr="000356D1">
        <w:rPr>
          <w:rFonts w:ascii="Arial" w:eastAsiaTheme="minorHAnsi" w:hAnsi="Arial" w:cs="Arial"/>
          <w:bCs/>
          <w:sz w:val="24"/>
          <w:lang w:eastAsia="en-US"/>
        </w:rPr>
        <w:t xml:space="preserve">                                                                                                       </w:t>
      </w:r>
    </w:p>
    <w:p w:rsidR="000356D1" w:rsidRPr="000356D1" w:rsidRDefault="000356D1" w:rsidP="000356D1">
      <w:pPr>
        <w:spacing w:before="120" w:after="120" w:line="288" w:lineRule="auto"/>
        <w:rPr>
          <w:rFonts w:ascii="Arial" w:eastAsia="Times New Roman" w:hAnsi="Arial" w:cs="Arial"/>
          <w:b/>
          <w:sz w:val="24"/>
          <w:szCs w:val="24"/>
          <w:lang w:eastAsia="en-AU"/>
        </w:rPr>
      </w:pPr>
      <w:r w:rsidRPr="000356D1">
        <w:rPr>
          <w:rFonts w:ascii="Arial" w:eastAsia="Times New Roman" w:hAnsi="Arial" w:cs="Arial"/>
          <w:b/>
          <w:sz w:val="24"/>
          <w:szCs w:val="24"/>
          <w:lang w:eastAsia="en-AU"/>
        </w:rPr>
        <w:t>Question 6</w:t>
      </w:r>
      <w:r w:rsidRPr="000356D1">
        <w:rPr>
          <w:rFonts w:ascii="Arial" w:eastAsia="Times New Roman" w:hAnsi="Arial" w:cs="Arial"/>
          <w:sz w:val="24"/>
          <w:szCs w:val="24"/>
          <w:lang w:eastAsia="en-AU"/>
        </w:rPr>
        <w:t xml:space="preserve"> (8 marks)</w:t>
      </w:r>
    </w:p>
    <w:p w:rsidR="000356D1" w:rsidRPr="000356D1" w:rsidRDefault="000356D1" w:rsidP="000356D1">
      <w:pPr>
        <w:spacing w:before="120" w:after="120" w:line="288" w:lineRule="auto"/>
        <w:rPr>
          <w:rFonts w:ascii="Arial" w:eastAsia="Times New Roman" w:hAnsi="Arial" w:cs="Arial"/>
          <w:sz w:val="24"/>
          <w:szCs w:val="24"/>
          <w:lang w:eastAsia="en-AU"/>
        </w:rPr>
      </w:pPr>
      <w:r w:rsidRPr="000356D1">
        <w:rPr>
          <w:rFonts w:ascii="Arial" w:eastAsia="Times New Roman" w:hAnsi="Arial" w:cs="Arial"/>
          <w:sz w:val="24"/>
          <w:szCs w:val="24"/>
          <w:lang w:eastAsia="en-AU"/>
        </w:rPr>
        <w:t>A prominent legal commentator stated: ‘Parliament is the supreme law- making body but courts have a complimentary role to parliament in making laws’</w:t>
      </w:r>
    </w:p>
    <w:p w:rsidR="000356D1" w:rsidRPr="000356D1" w:rsidRDefault="000356D1" w:rsidP="000356D1">
      <w:pPr>
        <w:numPr>
          <w:ilvl w:val="0"/>
          <w:numId w:val="3"/>
        </w:numPr>
        <w:autoSpaceDE w:val="0"/>
        <w:autoSpaceDN w:val="0"/>
        <w:adjustRightInd w:val="0"/>
        <w:contextualSpacing/>
        <w:rPr>
          <w:rFonts w:ascii="Arial" w:eastAsiaTheme="minorHAnsi" w:hAnsi="Arial" w:cs="Arial"/>
          <w:sz w:val="24"/>
          <w:szCs w:val="24"/>
          <w:lang w:eastAsia="en-US"/>
        </w:rPr>
      </w:pPr>
      <w:r w:rsidRPr="000356D1">
        <w:rPr>
          <w:rFonts w:ascii="Arial" w:eastAsiaTheme="minorHAnsi" w:hAnsi="Arial" w:cs="Arial"/>
          <w:sz w:val="24"/>
          <w:szCs w:val="24"/>
          <w:lang w:eastAsia="en-US"/>
        </w:rPr>
        <w:t xml:space="preserve">Explain what it means that ‘parliament is the supreme law-maker’.     </w:t>
      </w:r>
    </w:p>
    <w:p w:rsidR="000356D1" w:rsidRPr="000356D1" w:rsidRDefault="000356D1" w:rsidP="000356D1">
      <w:pPr>
        <w:autoSpaceDE w:val="0"/>
        <w:autoSpaceDN w:val="0"/>
        <w:adjustRightInd w:val="0"/>
        <w:ind w:left="720"/>
        <w:contextualSpacing/>
        <w:rPr>
          <w:rFonts w:ascii="Arial" w:eastAsiaTheme="minorHAnsi" w:hAnsi="Arial" w:cs="Arial"/>
          <w:sz w:val="24"/>
          <w:szCs w:val="24"/>
          <w:lang w:eastAsia="en-US"/>
        </w:rPr>
      </w:pPr>
    </w:p>
    <w:p w:rsidR="000356D1" w:rsidRPr="000356D1" w:rsidRDefault="000356D1" w:rsidP="000356D1">
      <w:pPr>
        <w:numPr>
          <w:ilvl w:val="0"/>
          <w:numId w:val="3"/>
        </w:numPr>
        <w:autoSpaceDE w:val="0"/>
        <w:autoSpaceDN w:val="0"/>
        <w:adjustRightInd w:val="0"/>
        <w:contextualSpacing/>
        <w:rPr>
          <w:rFonts w:ascii="Arial" w:eastAsiaTheme="minorHAnsi" w:hAnsi="Arial" w:cs="Arial"/>
          <w:sz w:val="24"/>
          <w:szCs w:val="24"/>
          <w:lang w:eastAsia="en-US"/>
        </w:rPr>
      </w:pPr>
      <w:r w:rsidRPr="000356D1">
        <w:rPr>
          <w:rFonts w:ascii="Arial" w:eastAsiaTheme="minorHAnsi" w:hAnsi="Arial" w:cs="Arial"/>
          <w:sz w:val="24"/>
          <w:szCs w:val="24"/>
          <w:lang w:eastAsia="en-US"/>
        </w:rPr>
        <w:t xml:space="preserve">Explain </w:t>
      </w:r>
      <w:r w:rsidRPr="000356D1">
        <w:rPr>
          <w:rFonts w:ascii="Arial" w:eastAsiaTheme="minorHAnsi" w:hAnsi="Arial" w:cs="Arial"/>
          <w:b/>
          <w:bCs/>
          <w:sz w:val="24"/>
          <w:szCs w:val="24"/>
          <w:lang w:eastAsia="en-US"/>
        </w:rPr>
        <w:t>two other</w:t>
      </w:r>
      <w:r w:rsidRPr="000356D1">
        <w:rPr>
          <w:rFonts w:ascii="Arial" w:eastAsiaTheme="minorHAnsi" w:hAnsi="Arial" w:cs="Arial"/>
          <w:sz w:val="24"/>
          <w:szCs w:val="24"/>
          <w:lang w:eastAsia="en-US"/>
        </w:rPr>
        <w:t xml:space="preserve"> key features of the relationship between the courts and parliament to enhance effective law-making and refer to at least </w:t>
      </w:r>
      <w:r w:rsidRPr="000356D1">
        <w:rPr>
          <w:rFonts w:ascii="Arial" w:eastAsiaTheme="minorHAnsi" w:hAnsi="Arial" w:cs="Arial"/>
          <w:b/>
          <w:bCs/>
          <w:sz w:val="24"/>
          <w:szCs w:val="24"/>
          <w:lang w:eastAsia="en-US"/>
        </w:rPr>
        <w:t>one</w:t>
      </w:r>
      <w:r w:rsidRPr="000356D1">
        <w:rPr>
          <w:rFonts w:ascii="Arial" w:eastAsiaTheme="minorHAnsi" w:hAnsi="Arial" w:cs="Arial"/>
          <w:sz w:val="24"/>
          <w:szCs w:val="24"/>
          <w:lang w:eastAsia="en-US"/>
        </w:rPr>
        <w:t xml:space="preserve"> case to illustrate.                                             </w:t>
      </w:r>
    </w:p>
    <w:p w:rsidR="000356D1" w:rsidRDefault="000356D1">
      <w:r w:rsidRPr="000356D1">
        <w:rPr>
          <w:rFonts w:ascii="Arial" w:eastAsia="Times New Roman" w:hAnsi="Arial" w:cs="Arial"/>
          <w:color w:val="404040" w:themeColor="text1" w:themeTint="BF"/>
          <w:sz w:val="24"/>
          <w:szCs w:val="24"/>
          <w:lang w:eastAsia="en-AU"/>
        </w:rPr>
        <w:t xml:space="preserve">                                                                       </w:t>
      </w:r>
    </w:p>
    <w:sectPr w:rsidR="000356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38129B"/>
    <w:multiLevelType w:val="hybridMultilevel"/>
    <w:tmpl w:val="1B0C10BE"/>
    <w:lvl w:ilvl="0" w:tplc="AE62843C">
      <w:start w:val="1"/>
      <w:numFmt w:val="lowerLetter"/>
      <w:lvlText w:val="%1."/>
      <w:lvlJc w:val="left"/>
      <w:pPr>
        <w:ind w:left="1080" w:hanging="360"/>
      </w:pPr>
      <w:rPr>
        <w:rFonts w:hint="default"/>
        <w:i w:val="0"/>
        <w:iCs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400B168B"/>
    <w:multiLevelType w:val="hybridMultilevel"/>
    <w:tmpl w:val="66F41D7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63015811"/>
    <w:multiLevelType w:val="hybridMultilevel"/>
    <w:tmpl w:val="F58E1028"/>
    <w:lvl w:ilvl="0" w:tplc="4DCCF5B6">
      <w:start w:val="1"/>
      <w:numFmt w:val="lowerLetter"/>
      <w:lvlText w:val="%1."/>
      <w:lvlJc w:val="left"/>
      <w:pPr>
        <w:ind w:left="720" w:hanging="360"/>
      </w:pPr>
      <w:rPr>
        <w:rFonts w:ascii="Arial" w:hAnsi="Arial" w:cs="Arial" w:hint="default"/>
        <w:b w:val="0"/>
        <w:bCs/>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6D1"/>
    <w:rsid w:val="000356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55F1CE6-588F-A741-A095-C17FAA51E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0356D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356D1"/>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0356D1"/>
    <w:rPr>
      <w:rFonts w:eastAsiaTheme="minorHAnsi"/>
      <w:lang w:eastAsia="en-US"/>
    </w:rPr>
  </w:style>
  <w:style w:type="paragraph" w:styleId="ListParagraph">
    <w:name w:val="List Paragraph"/>
    <w:basedOn w:val="Normal"/>
    <w:uiPriority w:val="34"/>
    <w:qFormat/>
    <w:rsid w:val="000356D1"/>
    <w:pPr>
      <w:spacing w:after="200" w:line="276" w:lineRule="auto"/>
      <w:ind w:left="720"/>
      <w:contextualSpacing/>
    </w:pPr>
    <w:rPr>
      <w:rFonts w:eastAsiaTheme="minorHAnsi"/>
      <w:lang w:eastAsia="en-US"/>
    </w:rPr>
  </w:style>
  <w:style w:type="paragraph" w:styleId="NormalWeb">
    <w:name w:val="Normal (Web)"/>
    <w:basedOn w:val="Normal"/>
    <w:uiPriority w:val="99"/>
    <w:semiHidden/>
    <w:unhideWhenUsed/>
    <w:rsid w:val="000356D1"/>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1hzxw">
    <w:name w:val="_1hzxw"/>
    <w:basedOn w:val="Normal"/>
    <w:rsid w:val="000356D1"/>
    <w:pPr>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608</Words>
  <Characters>3469</Characters>
  <Application>Microsoft Office Word</Application>
  <DocSecurity>0</DocSecurity>
  <Lines>28</Lines>
  <Paragraphs>8</Paragraphs>
  <ScaleCrop>false</ScaleCrop>
  <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April'E Ion</dc:creator>
  <cp:keywords/>
  <dc:description/>
  <cp:lastModifiedBy>April'E Ion</cp:lastModifiedBy>
  <cp:revision>2</cp:revision>
  <dcterms:created xsi:type="dcterms:W3CDTF">2021-09-17T08:19:00Z</dcterms:created>
  <dcterms:modified xsi:type="dcterms:W3CDTF">2021-09-17T08:19:00Z</dcterms:modified>
</cp:coreProperties>
</file>